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44"/>
          <w:szCs w:val="44"/>
        </w:rPr>
      </w:pPr>
      <w:r>
        <w:rPr>
          <w:rFonts w:hint="eastAsia"/>
          <w:sz w:val="44"/>
          <w:szCs w:val="44"/>
        </w:rPr>
        <w:t>漳州市住房和城乡建设局关于公布202</w:t>
      </w:r>
      <w:r>
        <w:rPr>
          <w:sz w:val="44"/>
          <w:szCs w:val="44"/>
        </w:rPr>
        <w:t>2</w:t>
      </w:r>
      <w:r>
        <w:rPr>
          <w:rFonts w:hint="eastAsia"/>
          <w:sz w:val="44"/>
          <w:szCs w:val="44"/>
        </w:rPr>
        <w:t>年度建筑业（准）龙头企业名单的通知</w:t>
      </w:r>
    </w:p>
    <w:p>
      <w:pPr>
        <w:rPr>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各县（区）、开发区（投资区）建设局、各相关企业：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漳州市促进建筑持续健康发展六条措施》（漳政综〔2021〕73号）精神，按照《漳州市住房和城乡建设局关于开展漳州市建筑业（准）龙头企业培育工作的通知（试行）》（漳建筑〔2021〕24号）及《漳州市住房和城乡建设局关于组织开展2022年度漳州市建筑业（准）龙头评选工作的通知》（漳建筑函〔2022〕11号），根据“一年一评”的工作部署，在企业自愿申请和属地住建部门推荐的基础上，市住建局对申报的建筑业企业进行量化评分、审核、复核和公示，现将结果予以公布（名单附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2021年度建筑业（准）龙头企业名单自然失效，我市建筑业（准）龙头企业相关配套政策运用对象以本通知公布的建筑业龙头和准龙头企业名单为准（2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年5月1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日起开标的房建市政总承包项目，运用本次公布的龙头和准龙头企业名单）。</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此件主动公开</w:t>
      </w:r>
      <w:bookmarkStart w:id="0" w:name="_GoBack"/>
      <w:bookmarkEnd w:id="0"/>
      <w:r>
        <w:rPr>
          <w:rFonts w:hint="eastAsia" w:ascii="仿宋_GB2312" w:hAnsi="仿宋_GB2312" w:eastAsia="仿宋_GB2312" w:cs="仿宋_GB2312"/>
          <w:sz w:val="32"/>
          <w:szCs w:val="32"/>
          <w:lang w:eastAsia="zh-CN"/>
        </w:rPr>
        <w:t>）</w:t>
      </w:r>
    </w:p>
    <w:p>
      <w:pPr>
        <w:spacing w:line="60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漳州市住房和城乡建设局</w:t>
      </w:r>
    </w:p>
    <w:p>
      <w:pPr>
        <w:spacing w:line="6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2022年5月17日</w:t>
      </w:r>
    </w:p>
    <w:p>
      <w:pPr>
        <w:spacing w:line="60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抄送：市政府办、省住建厅、市行政服务中心</w:t>
      </w:r>
    </w:p>
    <w:p>
      <w:pPr>
        <w:jc w:val="center"/>
        <w:rPr>
          <w:rFonts w:ascii="仿宋_GB2312" w:eastAsia="仿宋_GB2312"/>
          <w:sz w:val="44"/>
          <w:szCs w:val="44"/>
        </w:rPr>
      </w:pPr>
      <w:r>
        <w:rPr>
          <w:rFonts w:hint="eastAsia" w:ascii="仿宋_GB2312" w:eastAsia="仿宋_GB2312"/>
          <w:sz w:val="32"/>
          <w:szCs w:val="32"/>
        </w:rPr>
        <w:t xml:space="preserve"> </w:t>
      </w:r>
      <w:r>
        <w:rPr>
          <w:rFonts w:hint="eastAsia" w:ascii="仿宋_GB2312" w:eastAsia="仿宋_GB2312"/>
          <w:sz w:val="44"/>
          <w:szCs w:val="44"/>
        </w:rPr>
        <w:t>2022年度漳州市建筑业龙头企业名单</w:t>
      </w:r>
    </w:p>
    <w:tbl>
      <w:tblPr>
        <w:tblStyle w:val="9"/>
        <w:tblpPr w:leftFromText="180" w:rightFromText="180" w:vertAnchor="page" w:horzAnchor="margin" w:tblpY="24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ind w:right="320"/>
              <w:jc w:val="center"/>
              <w:rPr>
                <w:rFonts w:ascii="仿宋_GB2312" w:eastAsia="仿宋_GB2312"/>
                <w:kern w:val="0"/>
                <w:sz w:val="24"/>
                <w:szCs w:val="24"/>
              </w:rPr>
            </w:pPr>
            <w:r>
              <w:rPr>
                <w:rFonts w:hint="eastAsia" w:ascii="仿宋_GB2312" w:eastAsia="仿宋_GB2312"/>
                <w:kern w:val="0"/>
                <w:sz w:val="24"/>
                <w:szCs w:val="24"/>
              </w:rPr>
              <w:t>序号</w:t>
            </w:r>
          </w:p>
        </w:tc>
        <w:tc>
          <w:tcPr>
            <w:tcW w:w="7039" w:type="dxa"/>
            <w:vAlign w:val="center"/>
          </w:tcPr>
          <w:p>
            <w:pPr>
              <w:ind w:right="320"/>
              <w:jc w:val="center"/>
              <w:rPr>
                <w:rFonts w:ascii="仿宋_GB2312" w:eastAsia="仿宋_GB2312"/>
                <w:kern w:val="0"/>
                <w:sz w:val="24"/>
                <w:szCs w:val="24"/>
              </w:rPr>
            </w:pPr>
            <w:r>
              <w:rPr>
                <w:rFonts w:hint="eastAsia" w:ascii="仿宋_GB2312" w:eastAsia="仿宋_GB2312"/>
                <w:kern w:val="0"/>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w:t>
            </w:r>
          </w:p>
        </w:tc>
        <w:tc>
          <w:tcPr>
            <w:tcW w:w="703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2"/>
                <w:szCs w:val="20"/>
              </w:rPr>
            </w:pPr>
            <w:r>
              <w:rPr>
                <w:rFonts w:hint="eastAsia"/>
                <w:color w:val="000000"/>
                <w:kern w:val="0"/>
                <w:sz w:val="22"/>
                <w:szCs w:val="20"/>
              </w:rPr>
              <w:t>福建省泷澄建设集团有限公司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2</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福建七建集团有限公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3</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福建省兴岩建设集团有限公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4</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福建省禹澄建设工程有限公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5</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福建省日誉建设集团有限公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6</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福建省天钧建设集团有限公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7</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福建华建工程建设有限公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257" w:type="dxa"/>
            <w:vAlign w:val="center"/>
          </w:tcPr>
          <w:p>
            <w:pPr>
              <w:jc w:val="center"/>
              <w:rPr>
                <w:kern w:val="0"/>
                <w:sz w:val="24"/>
                <w:szCs w:val="24"/>
              </w:rPr>
            </w:pPr>
            <w:r>
              <w:rPr>
                <w:rFonts w:hint="eastAsia"/>
                <w:kern w:val="0"/>
                <w:sz w:val="24"/>
                <w:szCs w:val="24"/>
              </w:rPr>
              <w:t>8</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福建荣冠环境建设集团有限公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9</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福建省博兴建设有限公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10</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岳鸿建设发展有限公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11</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福建大佳建设工程有限公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12</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福建大舟建设集团有限公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13</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福建恒盛建筑集团有限公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14</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福建联谊建筑工程有限公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15</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福建立盛建筑集团有限公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16</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福建隆晟集团有限公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w:t>
            </w:r>
            <w:r>
              <w:rPr>
                <w:kern w:val="0"/>
                <w:sz w:val="24"/>
                <w:szCs w:val="24"/>
              </w:rPr>
              <w:t>7</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福建昱勋建设有限公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w:t>
            </w:r>
            <w:r>
              <w:rPr>
                <w:kern w:val="0"/>
                <w:sz w:val="24"/>
                <w:szCs w:val="24"/>
              </w:rPr>
              <w:t>8</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中工建设集团（福建）有限公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1</w:t>
            </w:r>
            <w:r>
              <w:rPr>
                <w:kern w:val="0"/>
                <w:sz w:val="24"/>
                <w:szCs w:val="24"/>
              </w:rPr>
              <w:t>9</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福建省同舟建设有限公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20</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福建群达工程建设有限公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kern w:val="0"/>
                <w:sz w:val="24"/>
                <w:szCs w:val="24"/>
              </w:rPr>
              <w:t>21</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福建腾美市政建设有限公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22</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福建佳园生态建设有限公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57" w:type="dxa"/>
            <w:vAlign w:val="center"/>
          </w:tcPr>
          <w:p>
            <w:pPr>
              <w:jc w:val="center"/>
              <w:rPr>
                <w:kern w:val="0"/>
                <w:sz w:val="24"/>
                <w:szCs w:val="24"/>
              </w:rPr>
            </w:pPr>
            <w:r>
              <w:rPr>
                <w:rFonts w:hint="eastAsia"/>
                <w:kern w:val="0"/>
                <w:sz w:val="24"/>
                <w:szCs w:val="24"/>
              </w:rPr>
              <w:t>2</w:t>
            </w:r>
            <w:r>
              <w:rPr>
                <w:kern w:val="0"/>
                <w:sz w:val="24"/>
                <w:szCs w:val="24"/>
              </w:rPr>
              <w:t>3</w:t>
            </w:r>
          </w:p>
        </w:tc>
        <w:tc>
          <w:tcPr>
            <w:tcW w:w="703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0"/>
              </w:rPr>
            </w:pPr>
            <w:r>
              <w:rPr>
                <w:rFonts w:hint="eastAsia" w:ascii="宋体" w:hAnsi="宋体" w:eastAsia="宋体" w:cs="宋体"/>
                <w:color w:val="000000"/>
                <w:kern w:val="0"/>
                <w:sz w:val="22"/>
                <w:szCs w:val="20"/>
              </w:rPr>
              <w:t>福建大景建设有限公</w:t>
            </w:r>
            <w:r>
              <w:rPr>
                <w:rFonts w:hint="eastAsia"/>
                <w:color w:val="000000"/>
                <w:kern w:val="0"/>
                <w:sz w:val="22"/>
                <w:szCs w:val="20"/>
              </w:rPr>
              <w:t>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57" w:type="dxa"/>
            <w:vAlign w:val="center"/>
          </w:tcPr>
          <w:p>
            <w:pPr>
              <w:jc w:val="center"/>
              <w:rPr>
                <w:kern w:val="0"/>
                <w:sz w:val="24"/>
                <w:szCs w:val="24"/>
              </w:rPr>
            </w:pPr>
            <w:r>
              <w:rPr>
                <w:rFonts w:hint="eastAsia"/>
                <w:kern w:val="0"/>
                <w:sz w:val="24"/>
                <w:szCs w:val="24"/>
              </w:rPr>
              <w:t>24</w:t>
            </w:r>
          </w:p>
        </w:tc>
        <w:tc>
          <w:tcPr>
            <w:tcW w:w="7039" w:type="dxa"/>
            <w:tcBorders>
              <w:top w:val="single" w:color="auto" w:sz="4" w:space="0"/>
              <w:left w:val="single" w:color="auto" w:sz="4" w:space="0"/>
              <w:bottom w:val="single" w:color="auto" w:sz="4" w:space="0"/>
              <w:right w:val="single" w:color="auto" w:sz="4" w:space="0"/>
            </w:tcBorders>
            <w:shd w:val="clear" w:color="auto" w:fill="auto"/>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福建恒冠建设有限公司（龙头企业资格有效期截止到2022.11.19）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57" w:type="dxa"/>
            <w:vAlign w:val="center"/>
          </w:tcPr>
          <w:p>
            <w:pPr>
              <w:jc w:val="center"/>
              <w:rPr>
                <w:kern w:val="0"/>
                <w:sz w:val="24"/>
                <w:szCs w:val="24"/>
              </w:rPr>
            </w:pPr>
            <w:r>
              <w:rPr>
                <w:rFonts w:hint="eastAsia"/>
                <w:kern w:val="0"/>
                <w:sz w:val="24"/>
                <w:szCs w:val="24"/>
              </w:rPr>
              <w:t>25</w:t>
            </w:r>
          </w:p>
        </w:tc>
        <w:tc>
          <w:tcPr>
            <w:tcW w:w="7039" w:type="dxa"/>
            <w:tcBorders>
              <w:top w:val="single" w:color="auto" w:sz="4" w:space="0"/>
              <w:left w:val="single" w:color="auto" w:sz="4" w:space="0"/>
              <w:bottom w:val="single" w:color="auto" w:sz="4" w:space="0"/>
              <w:right w:val="single" w:color="auto" w:sz="4" w:space="0"/>
            </w:tcBorders>
            <w:shd w:val="clear" w:color="auto" w:fill="auto"/>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福建展恒新建设集团有限公司（龙头企业资格有效期截止到2022.11.</w:t>
            </w:r>
            <w:r>
              <w:rPr>
                <w:rFonts w:ascii="宋体" w:hAnsi="宋体" w:eastAsia="宋体" w:cs="宋体"/>
                <w:color w:val="000000"/>
                <w:kern w:val="0"/>
                <w:sz w:val="22"/>
                <w:szCs w:val="20"/>
              </w:rPr>
              <w:t>30</w:t>
            </w:r>
            <w:r>
              <w:rPr>
                <w:rFonts w:hint="eastAsia" w:ascii="宋体" w:hAnsi="宋体" w:eastAsia="宋体" w:cs="宋体"/>
                <w:color w:val="000000"/>
                <w:kern w:val="0"/>
                <w:sz w:val="22"/>
                <w:szCs w:val="20"/>
              </w:rPr>
              <w:t>）</w:t>
            </w:r>
          </w:p>
        </w:tc>
      </w:tr>
    </w:tbl>
    <w:p>
      <w:pPr>
        <w:pStyle w:val="7"/>
        <w:rPr>
          <w:sz w:val="44"/>
          <w:szCs w:val="44"/>
        </w:rPr>
      </w:pPr>
    </w:p>
    <w:p>
      <w:pPr>
        <w:pStyle w:val="7"/>
        <w:rPr>
          <w:sz w:val="44"/>
          <w:szCs w:val="44"/>
        </w:rPr>
      </w:pPr>
      <w:r>
        <w:rPr>
          <w:rFonts w:hint="eastAsia"/>
          <w:sz w:val="44"/>
          <w:szCs w:val="44"/>
        </w:rPr>
        <w:t>2022年度漳州市建筑业准龙头企业名单</w:t>
      </w:r>
    </w:p>
    <w:tbl>
      <w:tblPr>
        <w:tblStyle w:val="21"/>
        <w:tblpPr w:leftFromText="180" w:rightFromText="180" w:vertAnchor="text" w:horzAnchor="margin"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序号</w:t>
            </w:r>
          </w:p>
        </w:tc>
        <w:tc>
          <w:tcPr>
            <w:tcW w:w="7040" w:type="dxa"/>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w:t>
            </w:r>
          </w:p>
        </w:tc>
        <w:tc>
          <w:tcPr>
            <w:tcW w:w="7040" w:type="dxa"/>
            <w:tcBorders>
              <w:top w:val="single" w:color="auto" w:sz="4" w:space="0"/>
              <w:left w:val="single" w:color="auto" w:sz="4" w:space="0"/>
              <w:bottom w:val="single" w:color="auto" w:sz="4" w:space="0"/>
              <w:right w:val="single" w:color="auto" w:sz="4" w:space="0"/>
            </w:tcBorders>
            <w:vAlign w:val="center"/>
          </w:tcPr>
          <w:p>
            <w:pPr>
              <w:widowControl/>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万顺通集团有限公司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锦禾建设集团有限公司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3</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福建东方建筑工程有限公司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4</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福建安华发展有限公司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5</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龙腾建设集团有限公司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6</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宏都建设集团有限公司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7</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福建长泰第一建筑有限公司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8</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福建省美福建设工程有限公司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9</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福建省春天生态科技股份有限公司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10</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福建根茂建筑有限公司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11</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福建省正晖建设工程有限公司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12</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漳州市宇丰建设有限公司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13</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福建省建宇建设有限公司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14</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漳州市冠宇建筑工程有限公司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15</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福建丰达建设发展有限公司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16</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南炬建筑工程（福建）有限公司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17</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福建南睦建筑有限公司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18</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漳州市市政工程有限公司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19</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福建省祥洲建设工程有限公司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20</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福建嘉乐建设工程有限公司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21</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福建继昌建筑工程有限公司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22</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漳州市建筑工程有限公司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23</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福建五一建设工程有限公司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24</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福建省固佳路桥工程有限公司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25</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福建闽泰交通工程有限公司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26</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福建漳龙建投集团有限公司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27</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福建省经发建工有限公司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28</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福建省围垦建设工程有限公司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29</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福建华工建设工程有限公司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56" w:type="dxa"/>
          </w:tcPr>
          <w:p>
            <w:pPr>
              <w:ind w:right="320"/>
              <w:jc w:val="center"/>
              <w:rPr>
                <w:rFonts w:ascii="宋体" w:hAnsi="宋体" w:eastAsia="宋体" w:cs="宋体"/>
                <w:color w:val="000000"/>
                <w:kern w:val="0"/>
                <w:sz w:val="22"/>
                <w:szCs w:val="20"/>
              </w:rPr>
            </w:pPr>
            <w:r>
              <w:rPr>
                <w:rFonts w:ascii="宋体" w:hAnsi="宋体" w:eastAsia="宋体" w:cs="宋体"/>
                <w:color w:val="000000"/>
                <w:kern w:val="0"/>
                <w:sz w:val="22"/>
                <w:szCs w:val="20"/>
              </w:rPr>
              <w:t>30</w:t>
            </w:r>
          </w:p>
        </w:tc>
        <w:tc>
          <w:tcPr>
            <w:tcW w:w="7040" w:type="dxa"/>
            <w:tcBorders>
              <w:top w:val="single" w:color="auto" w:sz="4" w:space="0"/>
              <w:left w:val="single" w:color="auto" w:sz="4" w:space="0"/>
              <w:bottom w:val="single" w:color="auto" w:sz="4" w:space="0"/>
              <w:right w:val="single" w:color="auto" w:sz="4" w:space="0"/>
            </w:tcBorders>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福建省天硕建设发展有限公司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56" w:type="dxa"/>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31</w:t>
            </w:r>
          </w:p>
        </w:tc>
        <w:tc>
          <w:tcPr>
            <w:tcW w:w="7040" w:type="dxa"/>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福建省通邦交通建设有限公司（准龙头企业资格有效期截止到2022.7.2）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56" w:type="dxa"/>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32</w:t>
            </w:r>
          </w:p>
        </w:tc>
        <w:tc>
          <w:tcPr>
            <w:tcW w:w="7040" w:type="dxa"/>
            <w:vAlign w:val="center"/>
          </w:tcPr>
          <w:p>
            <w:pPr>
              <w:ind w:right="320"/>
              <w:jc w:val="center"/>
              <w:rPr>
                <w:rFonts w:ascii="宋体" w:hAnsi="宋体" w:eastAsia="宋体" w:cs="宋体"/>
                <w:color w:val="000000"/>
                <w:kern w:val="0"/>
                <w:sz w:val="22"/>
                <w:szCs w:val="20"/>
              </w:rPr>
            </w:pPr>
            <w:r>
              <w:rPr>
                <w:rFonts w:hint="eastAsia" w:ascii="宋体" w:hAnsi="宋体" w:eastAsia="宋体" w:cs="宋体"/>
                <w:color w:val="000000"/>
                <w:kern w:val="0"/>
                <w:sz w:val="22"/>
                <w:szCs w:val="20"/>
              </w:rPr>
              <w:t>福建省泷炜建设工程有限公司（准龙头企业资格有效期截止到</w:t>
            </w:r>
            <w:r>
              <w:rPr>
                <w:rFonts w:ascii="宋体" w:hAnsi="宋体" w:eastAsia="宋体" w:cs="宋体"/>
                <w:color w:val="000000"/>
                <w:kern w:val="0"/>
                <w:sz w:val="22"/>
                <w:szCs w:val="20"/>
              </w:rPr>
              <w:t>2022.11.25</w:t>
            </w:r>
            <w:r>
              <w:rPr>
                <w:rFonts w:hint="eastAsia" w:ascii="宋体" w:hAnsi="宋体" w:eastAsia="宋体" w:cs="宋体"/>
                <w:color w:val="000000"/>
                <w:kern w:val="0"/>
                <w:sz w:val="22"/>
                <w:szCs w:val="2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nsolas">
    <w:panose1 w:val="020B0609020204030204"/>
    <w:charset w:val="00"/>
    <w:family w:val="modern"/>
    <w:pitch w:val="default"/>
    <w:sig w:usb0="E00002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22"/>
    <w:rsid w:val="001066E1"/>
    <w:rsid w:val="00144FC7"/>
    <w:rsid w:val="002B3561"/>
    <w:rsid w:val="00301D22"/>
    <w:rsid w:val="00416080"/>
    <w:rsid w:val="00485FDA"/>
    <w:rsid w:val="00491EAC"/>
    <w:rsid w:val="004E4B47"/>
    <w:rsid w:val="0065419C"/>
    <w:rsid w:val="006602C3"/>
    <w:rsid w:val="00694C30"/>
    <w:rsid w:val="006E5DE7"/>
    <w:rsid w:val="0079506C"/>
    <w:rsid w:val="008E163A"/>
    <w:rsid w:val="00A0533C"/>
    <w:rsid w:val="00A945EE"/>
    <w:rsid w:val="00AD3DB1"/>
    <w:rsid w:val="00B10A89"/>
    <w:rsid w:val="00B26350"/>
    <w:rsid w:val="00BD6A61"/>
    <w:rsid w:val="00BF0319"/>
    <w:rsid w:val="00BF584C"/>
    <w:rsid w:val="00C5090E"/>
    <w:rsid w:val="00D10890"/>
    <w:rsid w:val="00D24C19"/>
    <w:rsid w:val="00D56636"/>
    <w:rsid w:val="00D92BE9"/>
    <w:rsid w:val="00D941CE"/>
    <w:rsid w:val="00DC2D9E"/>
    <w:rsid w:val="00E50F19"/>
    <w:rsid w:val="136920BA"/>
    <w:rsid w:val="1BC65B2C"/>
    <w:rsid w:val="3BF839C6"/>
    <w:rsid w:val="3D9D5A63"/>
    <w:rsid w:val="5FE87697"/>
    <w:rsid w:val="76186482"/>
    <w:rsid w:val="7FE6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540" w:lineRule="atLeast"/>
      <w:jc w:val="left"/>
      <w:outlineLvl w:val="0"/>
    </w:pPr>
    <w:rPr>
      <w:rFonts w:hint="eastAsia" w:ascii="宋体" w:hAnsi="宋体" w:eastAsia="宋体" w:cs="Times New Roman"/>
      <w:color w:val="1658A0"/>
      <w:kern w:val="44"/>
      <w:sz w:val="42"/>
      <w:szCs w:val="4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22"/>
    <w:semiHidden/>
    <w:unhideWhenUsed/>
    <w:qFormat/>
    <w:uiPriority w:val="99"/>
    <w:rPr>
      <w:sz w:val="18"/>
      <w:szCs w:val="18"/>
    </w:rPr>
  </w:style>
  <w:style w:type="paragraph" w:styleId="4">
    <w:name w:val="footer"/>
    <w:basedOn w:val="1"/>
    <w:link w:val="20"/>
    <w:unhideWhenUsed/>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jc w:val="left"/>
    </w:pPr>
    <w:rPr>
      <w:rFonts w:cs="Times New Roman"/>
      <w:kern w:val="0"/>
      <w:sz w:val="24"/>
    </w:rPr>
  </w:style>
  <w:style w:type="paragraph" w:styleId="7">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uiPriority w:val="99"/>
    <w:rPr>
      <w:color w:val="2B2B2B"/>
      <w:u w:val="none"/>
    </w:rPr>
  </w:style>
  <w:style w:type="character" w:styleId="13">
    <w:name w:val="HTML Definition"/>
    <w:basedOn w:val="10"/>
    <w:semiHidden/>
    <w:unhideWhenUsed/>
    <w:uiPriority w:val="99"/>
    <w:rPr>
      <w:i/>
      <w:iCs/>
    </w:rPr>
  </w:style>
  <w:style w:type="character" w:styleId="14">
    <w:name w:val="Hyperlink"/>
    <w:basedOn w:val="10"/>
    <w:semiHidden/>
    <w:unhideWhenUsed/>
    <w:uiPriority w:val="99"/>
    <w:rPr>
      <w:color w:val="2B2B2B"/>
      <w:u w:val="none"/>
    </w:rPr>
  </w:style>
  <w:style w:type="character" w:styleId="15">
    <w:name w:val="HTML Code"/>
    <w:basedOn w:val="10"/>
    <w:semiHidden/>
    <w:unhideWhenUsed/>
    <w:uiPriority w:val="99"/>
    <w:rPr>
      <w:rFonts w:hint="default" w:ascii="Consolas" w:hAnsi="Consolas" w:eastAsia="Consolas" w:cs="Consolas"/>
      <w:color w:val="C7254E"/>
      <w:sz w:val="21"/>
      <w:szCs w:val="21"/>
      <w:shd w:val="clear" w:color="auto" w:fill="F9F2F4"/>
    </w:rPr>
  </w:style>
  <w:style w:type="character" w:styleId="16">
    <w:name w:val="HTML Keyboard"/>
    <w:basedOn w:val="10"/>
    <w:semiHidden/>
    <w:unhideWhenUsed/>
    <w:uiPriority w:val="99"/>
    <w:rPr>
      <w:rFonts w:hint="default" w:ascii="Consolas" w:hAnsi="Consolas" w:eastAsia="Consolas" w:cs="Consolas"/>
      <w:color w:val="FFFFFF"/>
      <w:sz w:val="21"/>
      <w:szCs w:val="21"/>
      <w:shd w:val="clear" w:color="auto" w:fill="333333"/>
    </w:rPr>
  </w:style>
  <w:style w:type="character" w:styleId="17">
    <w:name w:val="HTML Sample"/>
    <w:basedOn w:val="10"/>
    <w:semiHidden/>
    <w:unhideWhenUsed/>
    <w:uiPriority w:val="99"/>
    <w:rPr>
      <w:rFonts w:ascii="Consolas" w:hAnsi="Consolas" w:eastAsia="Consolas" w:cs="Consolas"/>
      <w:sz w:val="21"/>
      <w:szCs w:val="21"/>
    </w:rPr>
  </w:style>
  <w:style w:type="character" w:customStyle="1" w:styleId="18">
    <w:name w:val="标题 Char"/>
    <w:basedOn w:val="10"/>
    <w:link w:val="7"/>
    <w:qFormat/>
    <w:uiPriority w:val="10"/>
    <w:rPr>
      <w:rFonts w:eastAsia="宋体" w:asciiTheme="majorHAnsi" w:hAnsiTheme="majorHAnsi" w:cstheme="majorBidi"/>
      <w:b/>
      <w:bCs/>
      <w:sz w:val="32"/>
      <w:szCs w:val="32"/>
    </w:rPr>
  </w:style>
  <w:style w:type="character" w:customStyle="1" w:styleId="19">
    <w:name w:val="页眉 Char"/>
    <w:basedOn w:val="10"/>
    <w:link w:val="5"/>
    <w:qFormat/>
    <w:uiPriority w:val="99"/>
    <w:rPr>
      <w:sz w:val="18"/>
      <w:szCs w:val="18"/>
    </w:rPr>
  </w:style>
  <w:style w:type="character" w:customStyle="1" w:styleId="20">
    <w:name w:val="页脚 Char"/>
    <w:basedOn w:val="10"/>
    <w:link w:val="4"/>
    <w:qFormat/>
    <w:uiPriority w:val="99"/>
    <w:rPr>
      <w:sz w:val="18"/>
      <w:szCs w:val="18"/>
    </w:rPr>
  </w:style>
  <w:style w:type="table" w:customStyle="1" w:styleId="21">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1323</Characters>
  <Lines>11</Lines>
  <Paragraphs>3</Paragraphs>
  <TotalTime>33</TotalTime>
  <ScaleCrop>false</ScaleCrop>
  <LinksUpToDate>false</LinksUpToDate>
  <CharactersWithSpaces>1551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2022-05-17T08:23:00Z</dcterms:created>
  <dc:creator>csw</dc:creator>
  <cp:lastModifiedBy>小罗</cp:lastModifiedBy>
  <cp:lastPrinted>2022-05-20T07:37:10Z</cp:lastPrinted>
  <dcterms:modified xsi:type="dcterms:W3CDTF">2022-05-20T07:47:21Z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A79FC9C6D26748E9BEE86ECD4113CC61</vt:lpwstr>
  </property>
</Properties>
</file>